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B8" w:rsidRPr="00343907" w:rsidRDefault="001B1CB8" w:rsidP="001B1CB8">
      <w:pPr>
        <w:jc w:val="center"/>
      </w:pPr>
      <w:r w:rsidRPr="00343907">
        <w:t>Департамент образования и науки города Москвы</w:t>
      </w:r>
    </w:p>
    <w:p w:rsidR="001B1CB8" w:rsidRPr="00343907" w:rsidRDefault="001B1CB8" w:rsidP="001B1CB8">
      <w:pPr>
        <w:jc w:val="center"/>
      </w:pPr>
      <w:r w:rsidRPr="00343907">
        <w:t>Государственное автономное образовательное учреждение</w:t>
      </w:r>
    </w:p>
    <w:p w:rsidR="001B1CB8" w:rsidRPr="00343907" w:rsidRDefault="001B1CB8" w:rsidP="001B1CB8">
      <w:pPr>
        <w:jc w:val="center"/>
      </w:pPr>
      <w:r w:rsidRPr="00343907">
        <w:t>высшего образования города Москвы</w:t>
      </w:r>
    </w:p>
    <w:p w:rsidR="001B1CB8" w:rsidRPr="00343907" w:rsidRDefault="001B1CB8" w:rsidP="001B1CB8">
      <w:pPr>
        <w:jc w:val="center"/>
      </w:pPr>
      <w:r w:rsidRPr="00343907">
        <w:t>«МОСКОВСКИЙ ГОРОДСКОЙ ПЕДАГОГИЧЕСКИЙ УНИВЕРСИТЕТ»</w:t>
      </w:r>
    </w:p>
    <w:p w:rsidR="001B1CB8" w:rsidRPr="00343907" w:rsidRDefault="001B1CB8" w:rsidP="001B1CB8">
      <w:pPr>
        <w:jc w:val="center"/>
      </w:pPr>
      <w:r w:rsidRPr="00343907">
        <w:t>Институт гуманитарных наук</w:t>
      </w:r>
    </w:p>
    <w:p w:rsidR="001B1CB8" w:rsidRPr="00343907" w:rsidRDefault="001B1CB8" w:rsidP="001B1CB8">
      <w:pPr>
        <w:jc w:val="center"/>
      </w:pPr>
    </w:p>
    <w:p w:rsidR="001B1CB8" w:rsidRPr="00343907" w:rsidRDefault="001B1CB8" w:rsidP="001B1CB8">
      <w:pPr>
        <w:jc w:val="center"/>
        <w:rPr>
          <w:b/>
        </w:rPr>
      </w:pPr>
      <w:r w:rsidRPr="00343907">
        <w:rPr>
          <w:b/>
        </w:rPr>
        <w:t>ИНФОРМАЦИОННОЕ ПИСЬМО № 1</w:t>
      </w:r>
    </w:p>
    <w:p w:rsidR="001B1CB8" w:rsidRPr="00343907" w:rsidRDefault="001B1CB8" w:rsidP="001B1CB8">
      <w:pPr>
        <w:jc w:val="center"/>
        <w:rPr>
          <w:b/>
        </w:rPr>
      </w:pPr>
    </w:p>
    <w:p w:rsidR="001B1CB8" w:rsidRPr="00343907" w:rsidRDefault="001B1CB8" w:rsidP="001B1CB8">
      <w:pPr>
        <w:jc w:val="center"/>
        <w:rPr>
          <w:b/>
        </w:rPr>
      </w:pPr>
      <w:r w:rsidRPr="00343907">
        <w:rPr>
          <w:b/>
        </w:rPr>
        <w:t>Уважаемые коллеги!</w:t>
      </w:r>
    </w:p>
    <w:p w:rsidR="001B1CB8" w:rsidRPr="00343907" w:rsidRDefault="001B1CB8" w:rsidP="001B1CB8">
      <w:pPr>
        <w:ind w:firstLine="540"/>
        <w:jc w:val="both"/>
      </w:pPr>
      <w:r w:rsidRPr="00343907">
        <w:rPr>
          <w:b/>
        </w:rPr>
        <w:t>16–17 мая 2025 года</w:t>
      </w:r>
      <w:r w:rsidRPr="00343907">
        <w:t xml:space="preserve"> Государственное автономное образовательное учреждение высшего образования города Москвы «Московский городской педагогический университет» на базе Института гуманитарных наук проводит</w:t>
      </w:r>
    </w:p>
    <w:p w:rsidR="001B1CB8" w:rsidRPr="00343907" w:rsidRDefault="001B1CB8" w:rsidP="001B1CB8">
      <w:pPr>
        <w:ind w:firstLine="540"/>
        <w:jc w:val="both"/>
      </w:pPr>
    </w:p>
    <w:p w:rsidR="001B1CB8" w:rsidRPr="00343907" w:rsidRDefault="00F42AFA" w:rsidP="001B1CB8">
      <w:pPr>
        <w:jc w:val="center"/>
        <w:rPr>
          <w:b/>
        </w:rPr>
      </w:pPr>
      <w:r w:rsidRPr="00343907">
        <w:rPr>
          <w:b/>
          <w:lang w:val="en-US"/>
        </w:rPr>
        <w:t>X</w:t>
      </w:r>
      <w:r w:rsidRPr="004B684F">
        <w:rPr>
          <w:b/>
        </w:rPr>
        <w:t xml:space="preserve"> </w:t>
      </w:r>
      <w:r w:rsidR="001B1CB8" w:rsidRPr="00343907">
        <w:rPr>
          <w:b/>
        </w:rPr>
        <w:t>Межвузовс</w:t>
      </w:r>
      <w:r w:rsidR="001B1CB8" w:rsidRPr="00051C85">
        <w:rPr>
          <w:b/>
        </w:rPr>
        <w:t>к</w:t>
      </w:r>
      <w:r w:rsidR="00817DDA" w:rsidRPr="00051C85">
        <w:rPr>
          <w:b/>
        </w:rPr>
        <w:t>ую</w:t>
      </w:r>
      <w:r w:rsidR="001B1CB8" w:rsidRPr="00343907">
        <w:rPr>
          <w:b/>
        </w:rPr>
        <w:t xml:space="preserve"> междисциплинарн</w:t>
      </w:r>
      <w:r w:rsidR="00817DDA">
        <w:rPr>
          <w:b/>
        </w:rPr>
        <w:t>ую</w:t>
      </w:r>
      <w:r w:rsidR="00971879">
        <w:rPr>
          <w:b/>
        </w:rPr>
        <w:t xml:space="preserve"> </w:t>
      </w:r>
      <w:r w:rsidR="001B1CB8" w:rsidRPr="00343907">
        <w:rPr>
          <w:b/>
        </w:rPr>
        <w:t>научн</w:t>
      </w:r>
      <w:r w:rsidR="00817DDA">
        <w:rPr>
          <w:b/>
        </w:rPr>
        <w:t>ую</w:t>
      </w:r>
      <w:r w:rsidR="001B1CB8" w:rsidRPr="00343907">
        <w:rPr>
          <w:b/>
        </w:rPr>
        <w:t xml:space="preserve"> конференци</w:t>
      </w:r>
      <w:r w:rsidR="00817DDA">
        <w:rPr>
          <w:b/>
        </w:rPr>
        <w:t>ю</w:t>
      </w:r>
    </w:p>
    <w:p w:rsidR="001B1CB8" w:rsidRPr="00343907" w:rsidRDefault="001B1CB8" w:rsidP="001B1CB8">
      <w:pPr>
        <w:jc w:val="center"/>
        <w:rPr>
          <w:b/>
        </w:rPr>
      </w:pPr>
      <w:r w:rsidRPr="00343907">
        <w:rPr>
          <w:b/>
        </w:rPr>
        <w:t>с международным участием</w:t>
      </w:r>
    </w:p>
    <w:p w:rsidR="001B1CB8" w:rsidRPr="00343907" w:rsidRDefault="001B1CB8" w:rsidP="001B1CB8">
      <w:pPr>
        <w:ind w:firstLine="709"/>
        <w:jc w:val="center"/>
        <w:rPr>
          <w:b/>
        </w:rPr>
      </w:pPr>
    </w:p>
    <w:p w:rsidR="001B1CB8" w:rsidRPr="00343907" w:rsidRDefault="001B1CB8" w:rsidP="001B1CB8">
      <w:pPr>
        <w:ind w:firstLine="709"/>
        <w:jc w:val="center"/>
        <w:rPr>
          <w:rStyle w:val="a5"/>
          <w:b w:val="0"/>
          <w:color w:val="2C2D2E"/>
          <w:shd w:val="clear" w:color="auto" w:fill="FFFFFF"/>
        </w:rPr>
      </w:pPr>
      <w:r w:rsidRPr="00343907">
        <w:rPr>
          <w:b/>
        </w:rPr>
        <w:t>«Г</w:t>
      </w:r>
      <w:r w:rsidR="00F42AFA" w:rsidRPr="00343907">
        <w:rPr>
          <w:b/>
        </w:rPr>
        <w:t>ОРЫ И ЛАНДШАФТ ЗЕМЛИ В ХУДОЖЕСТВЕННЙ КАРТИНЕ МИРА</w:t>
      </w:r>
      <w:r w:rsidRPr="00343907">
        <w:rPr>
          <w:rStyle w:val="a5"/>
          <w:b w:val="0"/>
          <w:color w:val="2C2D2E"/>
          <w:shd w:val="clear" w:color="auto" w:fill="FFFFFF"/>
        </w:rPr>
        <w:t>»</w:t>
      </w:r>
    </w:p>
    <w:p w:rsidR="001B1CB8" w:rsidRPr="00343907" w:rsidRDefault="001B1CB8" w:rsidP="001B1CB8">
      <w:pPr>
        <w:ind w:firstLine="709"/>
        <w:jc w:val="center"/>
        <w:rPr>
          <w:b/>
        </w:rPr>
      </w:pPr>
    </w:p>
    <w:p w:rsidR="00644F01" w:rsidRPr="00051C85" w:rsidRDefault="00644F01" w:rsidP="00377709">
      <w:pPr>
        <w:jc w:val="right"/>
        <w:rPr>
          <w:i/>
          <w:shd w:val="clear" w:color="auto" w:fill="FFFFFF"/>
        </w:rPr>
      </w:pPr>
      <w:r w:rsidRPr="00051C85">
        <w:rPr>
          <w:i/>
          <w:shd w:val="clear" w:color="auto" w:fill="FFFFFF"/>
        </w:rPr>
        <w:t>Великие вещи случаются,</w:t>
      </w:r>
    </w:p>
    <w:p w:rsidR="00644F01" w:rsidRPr="00051C85" w:rsidRDefault="00644F01" w:rsidP="00377709">
      <w:pPr>
        <w:jc w:val="right"/>
        <w:rPr>
          <w:i/>
          <w:shd w:val="clear" w:color="auto" w:fill="FFFFFF"/>
        </w:rPr>
      </w:pPr>
      <w:r w:rsidRPr="00051C85">
        <w:rPr>
          <w:i/>
          <w:shd w:val="clear" w:color="auto" w:fill="FFFFFF"/>
        </w:rPr>
        <w:t>Когда встречаются человек и горы</w:t>
      </w:r>
    </w:p>
    <w:p w:rsidR="00644F01" w:rsidRPr="00051C85" w:rsidRDefault="00644F01" w:rsidP="00377709">
      <w:pPr>
        <w:jc w:val="right"/>
        <w:rPr>
          <w:i/>
          <w:shd w:val="clear" w:color="auto" w:fill="FFFFFF"/>
        </w:rPr>
      </w:pPr>
      <w:r w:rsidRPr="00051C85">
        <w:rPr>
          <w:i/>
          <w:shd w:val="clear" w:color="auto" w:fill="FFFFFF"/>
        </w:rPr>
        <w:t xml:space="preserve">(Уильям </w:t>
      </w:r>
      <w:proofErr w:type="spellStart"/>
      <w:r w:rsidRPr="00051C85">
        <w:rPr>
          <w:i/>
          <w:shd w:val="clear" w:color="auto" w:fill="FFFFFF"/>
        </w:rPr>
        <w:t>Блэйк</w:t>
      </w:r>
      <w:proofErr w:type="spellEnd"/>
      <w:r w:rsidRPr="00051C85">
        <w:rPr>
          <w:i/>
          <w:shd w:val="clear" w:color="auto" w:fill="FFFFFF"/>
        </w:rPr>
        <w:t>)</w:t>
      </w:r>
    </w:p>
    <w:p w:rsidR="00644F01" w:rsidRPr="00051C85" w:rsidRDefault="00644F01" w:rsidP="00377709">
      <w:pPr>
        <w:jc w:val="right"/>
        <w:rPr>
          <w:i/>
          <w:shd w:val="clear" w:color="auto" w:fill="FFFFFF"/>
        </w:rPr>
      </w:pPr>
    </w:p>
    <w:p w:rsidR="00343907" w:rsidRPr="00051C85" w:rsidRDefault="00051C85" w:rsidP="00377709">
      <w:pPr>
        <w:jc w:val="right"/>
        <w:rPr>
          <w:i/>
        </w:rPr>
      </w:pPr>
      <w:r>
        <w:rPr>
          <w:i/>
          <w:shd w:val="clear" w:color="auto" w:fill="FFFFFF"/>
        </w:rPr>
        <w:t>Всё</w:t>
      </w:r>
      <w:r w:rsidR="00377709" w:rsidRPr="00051C85">
        <w:rPr>
          <w:i/>
          <w:shd w:val="clear" w:color="auto" w:fill="FFFFFF"/>
        </w:rPr>
        <w:t xml:space="preserve"> живо там; холмы, леса,</w:t>
      </w:r>
      <w:r w:rsidR="00377709" w:rsidRPr="00051C85">
        <w:rPr>
          <w:i/>
        </w:rPr>
        <w:br/>
      </w:r>
      <w:r w:rsidR="00377709" w:rsidRPr="00051C85">
        <w:rPr>
          <w:i/>
          <w:shd w:val="clear" w:color="auto" w:fill="FFFFFF"/>
        </w:rPr>
        <w:t>Янтарь и яхонт винограда,</w:t>
      </w:r>
      <w:r w:rsidR="00377709" w:rsidRPr="00051C85">
        <w:rPr>
          <w:i/>
        </w:rPr>
        <w:br/>
      </w:r>
      <w:r w:rsidR="00377709" w:rsidRPr="00051C85">
        <w:rPr>
          <w:bCs/>
          <w:i/>
          <w:shd w:val="clear" w:color="auto" w:fill="FFFFFF"/>
        </w:rPr>
        <w:t>Долин</w:t>
      </w:r>
      <w:r>
        <w:rPr>
          <w:i/>
          <w:shd w:val="clear" w:color="auto" w:fill="FFFFFF"/>
        </w:rPr>
        <w:t xml:space="preserve"> </w:t>
      </w:r>
      <w:r w:rsidR="00377709" w:rsidRPr="00051C85">
        <w:rPr>
          <w:i/>
          <w:shd w:val="clear" w:color="auto" w:fill="FFFFFF"/>
        </w:rPr>
        <w:t>приютная краса,</w:t>
      </w:r>
      <w:r w:rsidR="00377709" w:rsidRPr="00051C85">
        <w:rPr>
          <w:i/>
        </w:rPr>
        <w:br/>
      </w:r>
      <w:r w:rsidR="00377709" w:rsidRPr="00051C85">
        <w:rPr>
          <w:i/>
          <w:shd w:val="clear" w:color="auto" w:fill="FFFFFF"/>
        </w:rPr>
        <w:t>И струй и тополей прохлада…</w:t>
      </w:r>
    </w:p>
    <w:p w:rsidR="001B1CB8" w:rsidRPr="00051C85" w:rsidRDefault="00377709" w:rsidP="001B1CB8">
      <w:pPr>
        <w:ind w:firstLine="709"/>
        <w:jc w:val="right"/>
        <w:rPr>
          <w:rStyle w:val="a5"/>
          <w:b w:val="0"/>
          <w:i/>
          <w:iCs/>
          <w:shd w:val="clear" w:color="auto" w:fill="FFFFFF"/>
        </w:rPr>
      </w:pPr>
      <w:r w:rsidRPr="00051C85">
        <w:rPr>
          <w:rStyle w:val="a5"/>
          <w:b w:val="0"/>
          <w:i/>
          <w:iCs/>
          <w:shd w:val="clear" w:color="auto" w:fill="FFFFFF"/>
        </w:rPr>
        <w:t>(А.С.</w:t>
      </w:r>
      <w:r w:rsidR="00051C85">
        <w:rPr>
          <w:rStyle w:val="a5"/>
          <w:b w:val="0"/>
          <w:i/>
          <w:iCs/>
          <w:shd w:val="clear" w:color="auto" w:fill="FFFFFF"/>
        </w:rPr>
        <w:t> </w:t>
      </w:r>
      <w:r w:rsidRPr="00051C85">
        <w:rPr>
          <w:rStyle w:val="a5"/>
          <w:b w:val="0"/>
          <w:i/>
          <w:iCs/>
          <w:shd w:val="clear" w:color="auto" w:fill="FFFFFF"/>
        </w:rPr>
        <w:t>Пушкин)</w:t>
      </w:r>
    </w:p>
    <w:p w:rsidR="00377709" w:rsidRPr="00051C85" w:rsidRDefault="00377709" w:rsidP="00377709">
      <w:pPr>
        <w:pStyle w:val="a6"/>
        <w:jc w:val="right"/>
        <w:rPr>
          <w:i/>
        </w:rPr>
      </w:pPr>
    </w:p>
    <w:p w:rsidR="00377709" w:rsidRPr="00051C85" w:rsidRDefault="00377709" w:rsidP="00377709">
      <w:pPr>
        <w:pStyle w:val="a6"/>
        <w:jc w:val="right"/>
        <w:rPr>
          <w:i/>
        </w:rPr>
      </w:pPr>
      <w:r w:rsidRPr="00051C85">
        <w:rPr>
          <w:i/>
        </w:rPr>
        <w:t xml:space="preserve">Вершина горы: место, где жизнь </w:t>
      </w:r>
    </w:p>
    <w:p w:rsidR="00377709" w:rsidRPr="00051C85" w:rsidRDefault="00377709" w:rsidP="00377709">
      <w:pPr>
        <w:pStyle w:val="a6"/>
        <w:jc w:val="right"/>
        <w:rPr>
          <w:i/>
        </w:rPr>
      </w:pPr>
      <w:r w:rsidRPr="00051C85">
        <w:rPr>
          <w:i/>
        </w:rPr>
        <w:t>обретает самый чистый смысл свободы</w:t>
      </w:r>
    </w:p>
    <w:p w:rsidR="00377709" w:rsidRPr="00377709" w:rsidRDefault="00377709" w:rsidP="00377709">
      <w:pPr>
        <w:pStyle w:val="a6"/>
        <w:jc w:val="right"/>
        <w:rPr>
          <w:i/>
        </w:rPr>
      </w:pPr>
      <w:r w:rsidRPr="00051C85">
        <w:rPr>
          <w:i/>
        </w:rPr>
        <w:t>(</w:t>
      </w:r>
      <w:proofErr w:type="spellStart"/>
      <w:r w:rsidRPr="00051C85">
        <w:rPr>
          <w:i/>
        </w:rPr>
        <w:t>Винисиус</w:t>
      </w:r>
      <w:proofErr w:type="spellEnd"/>
      <w:r w:rsidRPr="00051C85">
        <w:rPr>
          <w:i/>
        </w:rPr>
        <w:t xml:space="preserve"> Монтгомери</w:t>
      </w:r>
      <w:r w:rsidRPr="00377709">
        <w:rPr>
          <w:i/>
        </w:rPr>
        <w:t>)</w:t>
      </w:r>
    </w:p>
    <w:p w:rsidR="00377709" w:rsidRPr="00377709" w:rsidRDefault="00377709" w:rsidP="001B1CB8">
      <w:pPr>
        <w:ind w:firstLine="709"/>
        <w:jc w:val="right"/>
        <w:rPr>
          <w:rStyle w:val="a5"/>
          <w:b w:val="0"/>
          <w:i/>
          <w:iCs/>
          <w:shd w:val="clear" w:color="auto" w:fill="FFFFFF"/>
        </w:rPr>
      </w:pPr>
    </w:p>
    <w:p w:rsidR="0032527E" w:rsidRDefault="0032527E" w:rsidP="001B1CB8">
      <w:pPr>
        <w:ind w:firstLine="709"/>
        <w:jc w:val="both"/>
      </w:pPr>
    </w:p>
    <w:p w:rsidR="00971879" w:rsidRPr="00051C85" w:rsidRDefault="00644F01" w:rsidP="00644F01">
      <w:pPr>
        <w:ind w:firstLine="709"/>
        <w:jc w:val="both"/>
        <w:rPr>
          <w:bCs/>
        </w:rPr>
      </w:pPr>
      <w:r>
        <w:t>Юбилейная</w:t>
      </w:r>
      <w:r w:rsidR="00971879">
        <w:t xml:space="preserve">, десятая, </w:t>
      </w:r>
      <w:r w:rsidRPr="00644F01">
        <w:t>междисциплинарная</w:t>
      </w:r>
      <w:r w:rsidR="001B1CB8" w:rsidRPr="009B6099">
        <w:t xml:space="preserve"> научная конференция с международным участием продолжает цикл научных мероприятий </w:t>
      </w:r>
      <w:r>
        <w:t>института гуманитарных наук</w:t>
      </w:r>
      <w:r w:rsidR="001B1CB8" w:rsidRPr="009B6099">
        <w:t xml:space="preserve">, связанных с </w:t>
      </w:r>
      <w:r w:rsidR="00971879">
        <w:t xml:space="preserve">исследованием </w:t>
      </w:r>
      <w:r w:rsidR="001B1CB8" w:rsidRPr="009B6099">
        <w:t>природны</w:t>
      </w:r>
      <w:r w:rsidR="00971879">
        <w:t>х</w:t>
      </w:r>
      <w:r>
        <w:t xml:space="preserve"> образ</w:t>
      </w:r>
      <w:r w:rsidR="00971879">
        <w:t>ов</w:t>
      </w:r>
      <w:r>
        <w:t xml:space="preserve"> в русской словесности [</w:t>
      </w:r>
      <w:r w:rsidR="001B1CB8" w:rsidRPr="009B6099">
        <w:t>«Природные стихии и образы в русской словесности» (2015), «Семантика сада и леса в русской литературе и фольклоре» (2016), «Птица как образ, концепт, знак» (2017), «Мир насекомых в пространстве литературы, культуры, языка» (2018), «Семантика времен года в русской словесности и искусстве» (2019), «</w:t>
      </w:r>
      <w:r w:rsidR="001B1CB8" w:rsidRPr="00051C85">
        <w:t>Символика воды в русской и мировой словесности и культуре» (2021), «Жизнь и нравы животных в зеркале словесности, изобразительного искусства и кино» (2022), «“</w:t>
      </w:r>
      <w:r w:rsidR="001B1CB8" w:rsidRPr="00051C85">
        <w:rPr>
          <w:shd w:val="clear" w:color="auto" w:fill="FFFFFF"/>
        </w:rPr>
        <w:t xml:space="preserve">Язык цветов” и цветы в языке: </w:t>
      </w:r>
      <w:proofErr w:type="spellStart"/>
      <w:r w:rsidR="001B1CB8" w:rsidRPr="00051C85">
        <w:rPr>
          <w:shd w:val="clear" w:color="auto" w:fill="FFFFFF"/>
        </w:rPr>
        <w:t>флоросемантика</w:t>
      </w:r>
      <w:proofErr w:type="spellEnd"/>
      <w:r w:rsidR="001B1CB8" w:rsidRPr="00051C85">
        <w:rPr>
          <w:shd w:val="clear" w:color="auto" w:fill="FFFFFF"/>
        </w:rPr>
        <w:t xml:space="preserve"> и поэтика художественного текста</w:t>
      </w:r>
      <w:r w:rsidR="001B1CB8" w:rsidRPr="00051C85">
        <w:rPr>
          <w:rStyle w:val="a5"/>
          <w:b w:val="0"/>
          <w:shd w:val="clear" w:color="auto" w:fill="FFFFFF"/>
        </w:rPr>
        <w:t xml:space="preserve">» (2023), </w:t>
      </w:r>
      <w:r w:rsidR="001B1CB8" w:rsidRPr="00051C85">
        <w:rPr>
          <w:bCs/>
        </w:rPr>
        <w:t>«Небо, звезды и воздушный океан в художественной литературе и языковой картине мира» (2024)</w:t>
      </w:r>
      <w:r w:rsidRPr="00051C85">
        <w:rPr>
          <w:bCs/>
        </w:rPr>
        <w:t>]</w:t>
      </w:r>
      <w:r w:rsidR="001B1CB8" w:rsidRPr="00051C85">
        <w:rPr>
          <w:bCs/>
        </w:rPr>
        <w:t>.</w:t>
      </w:r>
      <w:r w:rsidR="00343907" w:rsidRPr="00051C85">
        <w:rPr>
          <w:bCs/>
        </w:rPr>
        <w:t xml:space="preserve"> </w:t>
      </w:r>
    </w:p>
    <w:p w:rsidR="00971879" w:rsidRDefault="001B1CB8" w:rsidP="00644F01">
      <w:pPr>
        <w:ind w:firstLine="709"/>
        <w:jc w:val="both"/>
      </w:pPr>
      <w:r w:rsidRPr="00051C85">
        <w:t xml:space="preserve">Цель конференций – обсуждение </w:t>
      </w:r>
      <w:r w:rsidRPr="009B6099">
        <w:t xml:space="preserve">новых научных парадигм в отечественной </w:t>
      </w:r>
      <w:proofErr w:type="spellStart"/>
      <w:r w:rsidRPr="009B6099">
        <w:t>гуманитаристике</w:t>
      </w:r>
      <w:proofErr w:type="spellEnd"/>
      <w:r w:rsidRPr="009B6099">
        <w:t xml:space="preserve"> – филологии, </w:t>
      </w:r>
      <w:proofErr w:type="spellStart"/>
      <w:r w:rsidRPr="009B6099">
        <w:t>лингвокультурологии</w:t>
      </w:r>
      <w:proofErr w:type="spellEnd"/>
      <w:r w:rsidRPr="009B6099">
        <w:t>, культурологии, искусство</w:t>
      </w:r>
      <w:r w:rsidR="00F42AFA">
        <w:t xml:space="preserve">ведении </w:t>
      </w:r>
      <w:r w:rsidRPr="009B6099">
        <w:t>и др.</w:t>
      </w:r>
    </w:p>
    <w:p w:rsidR="001B1CB8" w:rsidRPr="00AF5937" w:rsidRDefault="001B1CB8" w:rsidP="00644F01">
      <w:pPr>
        <w:ind w:firstLine="709"/>
        <w:jc w:val="both"/>
      </w:pPr>
      <w:r w:rsidRPr="00F42AFA">
        <w:t xml:space="preserve">Каждая национальная литература имеет свою систему излюбленных, устойчивых мотивов и образов, культурных кодов, отличающих ее эстетическое своеобразие. Национальная специфика </w:t>
      </w:r>
      <w:r w:rsidR="00644F01">
        <w:t xml:space="preserve">художественной </w:t>
      </w:r>
      <w:r w:rsidRPr="00F42AFA">
        <w:t xml:space="preserve">литературы проявляется особенно четко через природные образы. </w:t>
      </w:r>
      <w:r w:rsidRPr="009B6099">
        <w:t xml:space="preserve">«О чем бы ни хотел сказать поэт, ничто не заменит ему образов, взятых из природы: “вода” и “огонь”, “цветок” и “звезда”. Поэзия в новое время выполняет отчасти </w:t>
      </w:r>
      <w:r w:rsidRPr="009B6099">
        <w:lastRenderedPageBreak/>
        <w:t xml:space="preserve">ту функцию, какую в древности выполняла мифология – </w:t>
      </w:r>
      <w:r w:rsidRPr="00AF5937">
        <w:t xml:space="preserve">представлять мир, создаваемый человеком, в его гармонии с природой» (М.Н. Эпштейн). </w:t>
      </w:r>
    </w:p>
    <w:p w:rsidR="00AF5937" w:rsidRDefault="00644F01" w:rsidP="00AF5937">
      <w:pPr>
        <w:ind w:firstLine="709"/>
        <w:jc w:val="both"/>
        <w:rPr>
          <w:color w:val="000000"/>
          <w:shd w:val="clear" w:color="auto" w:fill="FFFFFF"/>
        </w:rPr>
      </w:pPr>
      <w:r w:rsidRPr="00AF5937">
        <w:t xml:space="preserve">Тема юбилейной конференции возникла не случайно, </w:t>
      </w:r>
      <w:r w:rsidR="00A43CEF">
        <w:t xml:space="preserve">идея ее </w:t>
      </w:r>
      <w:r w:rsidR="00A43CEF" w:rsidRPr="00051C85">
        <w:t xml:space="preserve">проведения </w:t>
      </w:r>
      <w:r w:rsidR="00817DDA" w:rsidRPr="00051C85">
        <w:t>родилась</w:t>
      </w:r>
      <w:r w:rsidR="00A43CEF">
        <w:t xml:space="preserve"> в процессе предшествующего изучения природных объе</w:t>
      </w:r>
      <w:r w:rsidR="00F94F2E">
        <w:t>ктов в пространстве культуры. О </w:t>
      </w:r>
      <w:r w:rsidR="00A43CEF">
        <w:t>масштабности и значимости заявленной темы го</w:t>
      </w:r>
      <w:r w:rsidR="00F02AF7">
        <w:t>во</w:t>
      </w:r>
      <w:r w:rsidR="00A43CEF">
        <w:t xml:space="preserve">рит тот факт, что </w:t>
      </w:r>
      <w:r w:rsidRPr="00AF5937">
        <w:t>горы</w:t>
      </w:r>
      <w:r w:rsidRPr="00AF5937">
        <w:rPr>
          <w:shd w:val="clear" w:color="auto" w:fill="FFFFFF"/>
        </w:rPr>
        <w:t xml:space="preserve"> занимают </w:t>
      </w:r>
      <w:r w:rsidR="00AF5937" w:rsidRPr="00AF5937">
        <w:rPr>
          <w:shd w:val="clear" w:color="auto" w:fill="FFFFFF"/>
        </w:rPr>
        <w:t>около</w:t>
      </w:r>
      <w:r w:rsidRPr="00AF5937">
        <w:rPr>
          <w:shd w:val="clear" w:color="auto" w:fill="FFFFFF"/>
        </w:rPr>
        <w:t xml:space="preserve"> 40% площади суши</w:t>
      </w:r>
      <w:r w:rsidR="00AF5937" w:rsidRPr="00AF5937">
        <w:rPr>
          <w:shd w:val="clear" w:color="auto" w:fill="FFFFFF"/>
        </w:rPr>
        <w:t xml:space="preserve"> Земли</w:t>
      </w:r>
      <w:r w:rsidR="00F02AF7">
        <w:rPr>
          <w:shd w:val="clear" w:color="auto" w:fill="FFFFFF"/>
        </w:rPr>
        <w:t xml:space="preserve"> </w:t>
      </w:r>
      <w:r w:rsidR="00AF5937">
        <w:rPr>
          <w:shd w:val="clear" w:color="auto" w:fill="FFFFFF"/>
        </w:rPr>
        <w:t>и являются одним из наиболее распространенных образных воплощений в разных видах искусства:</w:t>
      </w:r>
      <w:r w:rsidR="00AF5937" w:rsidRPr="00AF5937">
        <w:rPr>
          <w:shd w:val="clear" w:color="auto" w:fill="FFFFFF"/>
        </w:rPr>
        <w:t xml:space="preserve"> лите</w:t>
      </w:r>
      <w:r w:rsidR="00AF5937">
        <w:rPr>
          <w:shd w:val="clear" w:color="auto" w:fill="FFFFFF"/>
        </w:rPr>
        <w:t>ратур</w:t>
      </w:r>
      <w:r w:rsidR="00051C85">
        <w:rPr>
          <w:shd w:val="clear" w:color="auto" w:fill="FFFFFF"/>
        </w:rPr>
        <w:t>е</w:t>
      </w:r>
      <w:r w:rsidR="00AF5937">
        <w:rPr>
          <w:shd w:val="clear" w:color="auto" w:fill="FFFFFF"/>
        </w:rPr>
        <w:t>, живописи, музык</w:t>
      </w:r>
      <w:r w:rsidR="00051C85">
        <w:rPr>
          <w:shd w:val="clear" w:color="auto" w:fill="FFFFFF"/>
        </w:rPr>
        <w:t>е</w:t>
      </w:r>
      <w:r w:rsidR="00AF5937">
        <w:rPr>
          <w:shd w:val="clear" w:color="auto" w:fill="FFFFFF"/>
        </w:rPr>
        <w:t xml:space="preserve">, кино. Горы и национальный ландшафт играют значительную роль в </w:t>
      </w:r>
      <w:r w:rsidR="00F02AF7">
        <w:rPr>
          <w:shd w:val="clear" w:color="auto" w:fill="FFFFFF"/>
        </w:rPr>
        <w:t xml:space="preserve">отечественной </w:t>
      </w:r>
      <w:r w:rsidR="00AF5937">
        <w:rPr>
          <w:shd w:val="clear" w:color="auto" w:fill="FFFFFF"/>
        </w:rPr>
        <w:t xml:space="preserve">художественной литературе. </w:t>
      </w:r>
      <w:r w:rsidR="00051C85">
        <w:t>По словам М.Н. </w:t>
      </w:r>
      <w:r>
        <w:t>Эпштейна, «о</w:t>
      </w:r>
      <w:r w:rsidRPr="00F42AFA">
        <w:rPr>
          <w:color w:val="000000"/>
          <w:shd w:val="clear" w:color="auto" w:fill="FFFFFF"/>
        </w:rPr>
        <w:t>т Севера к Югу русских поэтов</w:t>
      </w:r>
      <w:r>
        <w:rPr>
          <w:color w:val="000000"/>
          <w:shd w:val="clear" w:color="auto" w:fill="FFFFFF"/>
        </w:rPr>
        <w:t xml:space="preserve"> в</w:t>
      </w:r>
      <w:r w:rsidRPr="00F42AFA">
        <w:rPr>
          <w:color w:val="000000"/>
          <w:shd w:val="clear" w:color="auto" w:fill="FFFFFF"/>
        </w:rPr>
        <w:t>лекла не только распахнутая даль пространств, но и сокровенная глубь</w:t>
      </w:r>
      <w:r>
        <w:rPr>
          <w:color w:val="000000"/>
          <w:shd w:val="clear" w:color="auto" w:fill="FFFFFF"/>
        </w:rPr>
        <w:t xml:space="preserve"> </w:t>
      </w:r>
      <w:r w:rsidRPr="00F42AFA">
        <w:rPr>
          <w:color w:val="000000"/>
          <w:shd w:val="clear" w:color="auto" w:fill="FFFFFF"/>
        </w:rPr>
        <w:t>времён </w:t>
      </w:r>
      <w:r w:rsidR="00051C85">
        <w:rPr>
          <w:color w:val="000000"/>
          <w:shd w:val="clear" w:color="auto" w:fill="FFFFFF"/>
        </w:rPr>
        <w:t>–</w:t>
      </w:r>
      <w:r w:rsidRPr="00F42AFA">
        <w:rPr>
          <w:color w:val="000000"/>
          <w:shd w:val="clear" w:color="auto" w:fill="FFFFFF"/>
        </w:rPr>
        <w:t xml:space="preserve"> смена почв и устоев культуры</w:t>
      </w:r>
      <w:r>
        <w:rPr>
          <w:color w:val="000000"/>
          <w:shd w:val="clear" w:color="auto" w:fill="FFFFFF"/>
        </w:rPr>
        <w:t>»</w:t>
      </w:r>
      <w:r w:rsidRPr="00F42AFA">
        <w:rPr>
          <w:color w:val="000000"/>
          <w:shd w:val="clear" w:color="auto" w:fill="FFFFFF"/>
        </w:rPr>
        <w:t>.</w:t>
      </w:r>
    </w:p>
    <w:p w:rsidR="001B1CB8" w:rsidRPr="00051C85" w:rsidRDefault="001B1CB8" w:rsidP="00AF5937">
      <w:pPr>
        <w:ind w:firstLine="709"/>
        <w:jc w:val="both"/>
        <w:rPr>
          <w:rStyle w:val="a5"/>
          <w:b w:val="0"/>
          <w:iCs/>
          <w:shd w:val="clear" w:color="auto" w:fill="FFFFFF"/>
        </w:rPr>
      </w:pPr>
      <w:r w:rsidRPr="009B6099">
        <w:t xml:space="preserve">В рамках конференции </w:t>
      </w:r>
      <w:r w:rsidRPr="001B1CB8">
        <w:t xml:space="preserve">«Горы и ландшафт Земли в </w:t>
      </w:r>
      <w:r w:rsidRPr="00051C85">
        <w:t xml:space="preserve">художественной </w:t>
      </w:r>
      <w:r w:rsidRPr="00051C85">
        <w:rPr>
          <w:shd w:val="clear" w:color="auto" w:fill="FFFFFF"/>
        </w:rPr>
        <w:t>картине мира</w:t>
      </w:r>
      <w:r w:rsidRPr="00051C85">
        <w:rPr>
          <w:rStyle w:val="a5"/>
          <w:shd w:val="clear" w:color="auto" w:fill="FFFFFF"/>
        </w:rPr>
        <w:t>»</w:t>
      </w:r>
    </w:p>
    <w:p w:rsidR="001B1CB8" w:rsidRPr="009B6099" w:rsidRDefault="001B1CB8" w:rsidP="001B1CB8">
      <w:pPr>
        <w:jc w:val="both"/>
      </w:pPr>
      <w:r w:rsidRPr="00051C85">
        <w:t>предполагается обсудить проблемы семантики</w:t>
      </w:r>
      <w:r w:rsidR="00D75D96" w:rsidRPr="00051C85">
        <w:t>,</w:t>
      </w:r>
      <w:r w:rsidRPr="00051C85">
        <w:t xml:space="preserve"> </w:t>
      </w:r>
      <w:r w:rsidR="00D75D96" w:rsidRPr="00051C85">
        <w:t xml:space="preserve">символики и поэтики горных образов и планетарного рельефа в разных видах искусства; </w:t>
      </w:r>
      <w:r w:rsidR="003742DD" w:rsidRPr="00051C85">
        <w:t xml:space="preserve">вопросы рецепции, интерпретации, аксиологии орографических </w:t>
      </w:r>
      <w:r w:rsidR="003742DD" w:rsidRPr="00051C85">
        <w:rPr>
          <w:shd w:val="clear" w:color="auto" w:fill="FFFFFF"/>
        </w:rPr>
        <w:t xml:space="preserve">(от греч. </w:t>
      </w:r>
      <w:proofErr w:type="spellStart"/>
      <w:r w:rsidR="003742DD" w:rsidRPr="00051C85">
        <w:rPr>
          <w:shd w:val="clear" w:color="auto" w:fill="FFFFFF"/>
        </w:rPr>
        <w:t>óros</w:t>
      </w:r>
      <w:proofErr w:type="spellEnd"/>
      <w:r w:rsidR="003742DD" w:rsidRPr="00051C85">
        <w:rPr>
          <w:shd w:val="clear" w:color="auto" w:fill="FFFFFF"/>
        </w:rPr>
        <w:t xml:space="preserve"> </w:t>
      </w:r>
      <w:r w:rsidR="00051C85">
        <w:rPr>
          <w:shd w:val="clear" w:color="auto" w:fill="FFFFFF"/>
        </w:rPr>
        <w:t>–</w:t>
      </w:r>
      <w:r w:rsidR="003742DD" w:rsidRPr="00051C85">
        <w:rPr>
          <w:shd w:val="clear" w:color="auto" w:fill="FFFFFF"/>
        </w:rPr>
        <w:t xml:space="preserve"> гора, </w:t>
      </w:r>
      <w:proofErr w:type="spellStart"/>
      <w:r w:rsidR="003742DD" w:rsidRPr="00051C85">
        <w:rPr>
          <w:shd w:val="clear" w:color="auto" w:fill="FFFFFF"/>
        </w:rPr>
        <w:t>grapho</w:t>
      </w:r>
      <w:proofErr w:type="spellEnd"/>
      <w:r w:rsidR="003742DD" w:rsidRPr="00051C85">
        <w:rPr>
          <w:shd w:val="clear" w:color="auto" w:fill="FFFFFF"/>
        </w:rPr>
        <w:t xml:space="preserve"> </w:t>
      </w:r>
      <w:r w:rsidR="00051C85">
        <w:rPr>
          <w:shd w:val="clear" w:color="auto" w:fill="FFFFFF"/>
        </w:rPr>
        <w:t>–</w:t>
      </w:r>
      <w:r w:rsidR="003742DD" w:rsidRPr="00051C85">
        <w:rPr>
          <w:shd w:val="clear" w:color="auto" w:fill="FFFFFF"/>
        </w:rPr>
        <w:t xml:space="preserve"> пишу, описываю)</w:t>
      </w:r>
      <w:r w:rsidR="003742DD" w:rsidRPr="00051C85">
        <w:rPr>
          <w:rFonts w:ascii="Arial" w:hAnsi="Arial" w:cs="Arial"/>
          <w:shd w:val="clear" w:color="auto" w:fill="FFFFFF"/>
        </w:rPr>
        <w:t xml:space="preserve"> </w:t>
      </w:r>
      <w:r w:rsidR="003742DD" w:rsidRPr="00051C85">
        <w:rPr>
          <w:shd w:val="clear" w:color="auto" w:fill="FFFFFF"/>
        </w:rPr>
        <w:t xml:space="preserve">образов </w:t>
      </w:r>
      <w:r w:rsidR="003742DD">
        <w:rPr>
          <w:shd w:val="clear" w:color="auto" w:fill="FFFFFF"/>
        </w:rPr>
        <w:t xml:space="preserve">в </w:t>
      </w:r>
      <w:r w:rsidR="00F02AF7">
        <w:rPr>
          <w:shd w:val="clear" w:color="auto" w:fill="FFFFFF"/>
        </w:rPr>
        <w:t>различных научных дискурсах (</w:t>
      </w:r>
      <w:r w:rsidR="00D75D96">
        <w:t>литературоведческ</w:t>
      </w:r>
      <w:r w:rsidR="003742DD">
        <w:t xml:space="preserve">ом, </w:t>
      </w:r>
      <w:r w:rsidR="00051C85">
        <w:t xml:space="preserve">фольклористическом, </w:t>
      </w:r>
      <w:r w:rsidR="003742DD">
        <w:t>лингвистическом</w:t>
      </w:r>
      <w:r w:rsidR="00D75D96">
        <w:t>, культурологическ</w:t>
      </w:r>
      <w:r w:rsidR="003742DD">
        <w:t>ом</w:t>
      </w:r>
      <w:r w:rsidR="00D75D96">
        <w:t>, философск</w:t>
      </w:r>
      <w:r w:rsidR="003742DD">
        <w:t xml:space="preserve">ом, </w:t>
      </w:r>
      <w:r w:rsidR="00D75D96">
        <w:t>искусствоведческ</w:t>
      </w:r>
      <w:r w:rsidR="00051C85">
        <w:t>ом и </w:t>
      </w:r>
      <w:r w:rsidR="003742DD">
        <w:t>др</w:t>
      </w:r>
      <w:r w:rsidR="00F02AF7">
        <w:t>.)</w:t>
      </w:r>
      <w:r w:rsidR="00051C85">
        <w:t>.</w:t>
      </w:r>
    </w:p>
    <w:p w:rsidR="001B1CB8" w:rsidRPr="009B6099" w:rsidRDefault="001B1CB8" w:rsidP="001B1CB8">
      <w:pPr>
        <w:ind w:left="369" w:hanging="369"/>
        <w:jc w:val="center"/>
      </w:pPr>
    </w:p>
    <w:p w:rsidR="003742DD" w:rsidRPr="00F02AF7" w:rsidRDefault="003742DD" w:rsidP="003742DD">
      <w:pPr>
        <w:ind w:firstLine="720"/>
        <w:jc w:val="both"/>
        <w:rPr>
          <w:b/>
        </w:rPr>
      </w:pPr>
      <w:r w:rsidRPr="00F02AF7">
        <w:rPr>
          <w:b/>
        </w:rPr>
        <w:t>Примерный круг вопросов, не исключающий расширения тематики:</w:t>
      </w:r>
    </w:p>
    <w:p w:rsidR="004B67C7" w:rsidRDefault="004B684F" w:rsidP="00051C85">
      <w:pPr>
        <w:pStyle w:val="a6"/>
        <w:ind w:firstLine="36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– </w:t>
      </w:r>
      <w:r w:rsidR="003742DD">
        <w:rPr>
          <w:shd w:val="clear" w:color="auto" w:fill="FFFFFF"/>
        </w:rPr>
        <w:t>ж</w:t>
      </w:r>
      <w:r w:rsidR="004B67C7" w:rsidRPr="004B67C7">
        <w:rPr>
          <w:shd w:val="clear" w:color="auto" w:fill="FFFFFF"/>
        </w:rPr>
        <w:t>ивописное </w:t>
      </w:r>
      <w:r w:rsidR="004B67C7" w:rsidRPr="004B67C7">
        <w:rPr>
          <w:bCs/>
          <w:shd w:val="clear" w:color="auto" w:fill="FFFFFF"/>
        </w:rPr>
        <w:t>изображение</w:t>
      </w:r>
      <w:r w:rsidR="004B67C7" w:rsidRPr="004B67C7">
        <w:rPr>
          <w:shd w:val="clear" w:color="auto" w:fill="FFFFFF"/>
        </w:rPr>
        <w:t> </w:t>
      </w:r>
      <w:r w:rsidR="004B67C7" w:rsidRPr="004B67C7">
        <w:rPr>
          <w:bCs/>
          <w:shd w:val="clear" w:color="auto" w:fill="FFFFFF"/>
        </w:rPr>
        <w:t>гор</w:t>
      </w:r>
      <w:r w:rsidR="004B67C7">
        <w:rPr>
          <w:bCs/>
          <w:shd w:val="clear" w:color="auto" w:fill="FFFFFF"/>
        </w:rPr>
        <w:t xml:space="preserve">: значение </w:t>
      </w:r>
      <w:r w:rsidR="004B67C7" w:rsidRPr="004B67C7">
        <w:rPr>
          <w:shd w:val="clear" w:color="auto" w:fill="FFFFFF"/>
        </w:rPr>
        <w:t>архетипов и символов</w:t>
      </w:r>
      <w:r>
        <w:rPr>
          <w:shd w:val="clear" w:color="auto" w:fill="FFFFFF"/>
        </w:rPr>
        <w:t>;</w:t>
      </w:r>
    </w:p>
    <w:p w:rsidR="004B684F" w:rsidRDefault="004B684F" w:rsidP="00051C85">
      <w:pPr>
        <w:pStyle w:val="a6"/>
        <w:ind w:firstLine="36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– </w:t>
      </w:r>
      <w:r w:rsidR="003742DD">
        <w:t>о</w:t>
      </w:r>
      <w:r w:rsidR="00AA4BB9" w:rsidRPr="004B684F">
        <w:t xml:space="preserve">рографические символы </w:t>
      </w:r>
      <w:r w:rsidR="00AA4BB9" w:rsidRPr="004B684F">
        <w:rPr>
          <w:shd w:val="clear" w:color="auto" w:fill="FFFFFF"/>
        </w:rPr>
        <w:t>религиозно</w:t>
      </w:r>
      <w:r w:rsidR="00DD4B1C" w:rsidRPr="004B684F">
        <w:rPr>
          <w:shd w:val="clear" w:color="auto" w:fill="FFFFFF"/>
        </w:rPr>
        <w:t>-</w:t>
      </w:r>
      <w:r w:rsidR="00AA4BB9" w:rsidRPr="004B684F">
        <w:rPr>
          <w:shd w:val="clear" w:color="auto" w:fill="FFFFFF"/>
        </w:rPr>
        <w:t xml:space="preserve">языческого мировоззрения </w:t>
      </w:r>
      <w:r w:rsidR="009D52C9">
        <w:rPr>
          <w:shd w:val="clear" w:color="auto" w:fill="FFFFFF"/>
        </w:rPr>
        <w:t xml:space="preserve">и </w:t>
      </w:r>
      <w:r w:rsidR="00AA4BB9" w:rsidRPr="004B684F">
        <w:rPr>
          <w:shd w:val="clear" w:color="auto" w:fill="FFFFFF"/>
        </w:rPr>
        <w:t>знаковые э</w:t>
      </w:r>
      <w:r>
        <w:rPr>
          <w:shd w:val="clear" w:color="auto" w:fill="FFFFFF"/>
        </w:rPr>
        <w:t>лементы систем народных культур;</w:t>
      </w:r>
      <w:r w:rsidR="00DD4B1C" w:rsidRPr="004B684F">
        <w:rPr>
          <w:shd w:val="clear" w:color="auto" w:fill="FFFFFF"/>
        </w:rPr>
        <w:t xml:space="preserve"> </w:t>
      </w:r>
    </w:p>
    <w:p w:rsidR="004B684F" w:rsidRDefault="00C83996" w:rsidP="00051C85">
      <w:pPr>
        <w:ind w:firstLine="360"/>
        <w:jc w:val="both"/>
      </w:pPr>
      <w:r>
        <w:t xml:space="preserve">– </w:t>
      </w:r>
      <w:proofErr w:type="spellStart"/>
      <w:r w:rsidR="003742DD">
        <w:t>а</w:t>
      </w:r>
      <w:r>
        <w:t>нтропоцентричность</w:t>
      </w:r>
      <w:proofErr w:type="spellEnd"/>
      <w:r>
        <w:t xml:space="preserve"> описания гор в художественном тексте </w:t>
      </w:r>
      <w:r w:rsidR="00266A33">
        <w:t>(</w:t>
      </w:r>
      <w:r>
        <w:t>когнитивн</w:t>
      </w:r>
      <w:r w:rsidR="00266A33">
        <w:t xml:space="preserve">ый </w:t>
      </w:r>
      <w:r>
        <w:t>аспект</w:t>
      </w:r>
      <w:r w:rsidR="00266A33">
        <w:t xml:space="preserve"> анализа)</w:t>
      </w:r>
      <w:r>
        <w:t>;</w:t>
      </w:r>
    </w:p>
    <w:p w:rsidR="00C83996" w:rsidRDefault="003742DD" w:rsidP="00051C85">
      <w:pPr>
        <w:ind w:firstLine="360"/>
        <w:jc w:val="both"/>
      </w:pPr>
      <w:r>
        <w:t xml:space="preserve">– </w:t>
      </w:r>
      <w:proofErr w:type="spellStart"/>
      <w:r>
        <w:t>м</w:t>
      </w:r>
      <w:r w:rsidR="00266A33">
        <w:t>и</w:t>
      </w:r>
      <w:r w:rsidR="00C83996">
        <w:t>ромоделирующая</w:t>
      </w:r>
      <w:proofErr w:type="spellEnd"/>
      <w:r w:rsidR="00C83996">
        <w:t xml:space="preserve"> </w:t>
      </w:r>
      <w:r>
        <w:t>и эстетическая функции</w:t>
      </w:r>
      <w:r w:rsidR="00C83996">
        <w:t xml:space="preserve"> горных образов;</w:t>
      </w:r>
    </w:p>
    <w:p w:rsidR="00266A33" w:rsidRDefault="00266A33" w:rsidP="00051C85">
      <w:pPr>
        <w:ind w:firstLine="360"/>
        <w:jc w:val="both"/>
      </w:pPr>
      <w:r>
        <w:t xml:space="preserve">– </w:t>
      </w:r>
      <w:r w:rsidR="003742DD">
        <w:t>г</w:t>
      </w:r>
      <w:r>
        <w:t>ора как образ, символ, знак в художественной культуре;</w:t>
      </w:r>
    </w:p>
    <w:p w:rsidR="00C83996" w:rsidRDefault="00C83996" w:rsidP="00051C85">
      <w:pPr>
        <w:ind w:firstLine="369"/>
        <w:jc w:val="both"/>
      </w:pPr>
      <w:r>
        <w:t xml:space="preserve">– </w:t>
      </w:r>
      <w:r w:rsidR="003742DD">
        <w:t>г</w:t>
      </w:r>
      <w:r w:rsidRPr="004B684F">
        <w:t>еографическое пространство как культурный ла</w:t>
      </w:r>
      <w:r>
        <w:t>н</w:t>
      </w:r>
      <w:r w:rsidRPr="004B684F">
        <w:t>дшафт;</w:t>
      </w:r>
    </w:p>
    <w:p w:rsidR="00C83996" w:rsidRDefault="00C83996" w:rsidP="00051C85">
      <w:pPr>
        <w:ind w:firstLine="360"/>
        <w:jc w:val="both"/>
      </w:pPr>
      <w:r>
        <w:t xml:space="preserve">– </w:t>
      </w:r>
      <w:r w:rsidR="003742DD">
        <w:t>н</w:t>
      </w:r>
      <w:r w:rsidRPr="00C83996">
        <w:t xml:space="preserve">ациональный ландшафт и </w:t>
      </w:r>
      <w:proofErr w:type="spellStart"/>
      <w:r w:rsidRPr="00C83996">
        <w:t>этнохудожественная</w:t>
      </w:r>
      <w:proofErr w:type="spellEnd"/>
      <w:r w:rsidRPr="00C83996">
        <w:t xml:space="preserve"> традиция; </w:t>
      </w:r>
    </w:p>
    <w:p w:rsidR="00C83996" w:rsidRDefault="00C83996" w:rsidP="00051C85">
      <w:pPr>
        <w:ind w:firstLine="360"/>
        <w:jc w:val="both"/>
      </w:pPr>
      <w:r>
        <w:t xml:space="preserve">– </w:t>
      </w:r>
      <w:r w:rsidR="003742DD">
        <w:t>п</w:t>
      </w:r>
      <w:r w:rsidRPr="00C83996">
        <w:t>оэтический ландшафт и национальная идентичность;</w:t>
      </w:r>
    </w:p>
    <w:p w:rsidR="00C83996" w:rsidRDefault="00266A33" w:rsidP="00051C85">
      <w:pPr>
        <w:ind w:firstLine="360"/>
        <w:jc w:val="both"/>
      </w:pPr>
      <w:r>
        <w:t xml:space="preserve">– </w:t>
      </w:r>
      <w:r w:rsidR="003742DD">
        <w:t>р</w:t>
      </w:r>
      <w:r>
        <w:t>ельеф местности и особеннос</w:t>
      </w:r>
      <w:r w:rsidR="00C83996">
        <w:t>ти флоры и фауны</w:t>
      </w:r>
      <w:r>
        <w:t xml:space="preserve"> в художественной картине мира; </w:t>
      </w:r>
    </w:p>
    <w:p w:rsidR="00266A33" w:rsidRPr="00E27C11" w:rsidRDefault="00266A33" w:rsidP="00051C85">
      <w:pPr>
        <w:ind w:firstLine="360"/>
        <w:jc w:val="both"/>
      </w:pPr>
      <w:r>
        <w:t xml:space="preserve">– </w:t>
      </w:r>
      <w:r w:rsidR="003742DD" w:rsidRPr="00E27C11">
        <w:t>г</w:t>
      </w:r>
      <w:r w:rsidRPr="00E27C11">
        <w:t xml:space="preserve">орный пейзаж в отечественном </w:t>
      </w:r>
      <w:r w:rsidR="00E27C11" w:rsidRPr="00E27C11">
        <w:t xml:space="preserve">и мировом </w:t>
      </w:r>
      <w:r w:rsidRPr="00E27C11">
        <w:t>искусстве (литература, живопись, музыка, кино</w:t>
      </w:r>
      <w:r w:rsidR="00E27C11" w:rsidRPr="00E27C11">
        <w:t xml:space="preserve"> и др.</w:t>
      </w:r>
      <w:r w:rsidRPr="00E27C11">
        <w:t>);</w:t>
      </w:r>
    </w:p>
    <w:p w:rsidR="00C83996" w:rsidRPr="00E27C11" w:rsidRDefault="00C83996" w:rsidP="00051C85">
      <w:pPr>
        <w:pStyle w:val="a4"/>
        <w:spacing w:after="0"/>
        <w:ind w:left="369"/>
        <w:jc w:val="both"/>
        <w:rPr>
          <w:rFonts w:ascii="Times New Roman" w:hAnsi="Times New Roman"/>
          <w:sz w:val="24"/>
          <w:szCs w:val="24"/>
        </w:rPr>
      </w:pPr>
      <w:r w:rsidRPr="00E27C11">
        <w:rPr>
          <w:rFonts w:ascii="Times New Roman" w:hAnsi="Times New Roman"/>
        </w:rPr>
        <w:t xml:space="preserve">– </w:t>
      </w:r>
      <w:proofErr w:type="spellStart"/>
      <w:r w:rsidR="003742DD" w:rsidRPr="00E27C11">
        <w:rPr>
          <w:rFonts w:ascii="Times New Roman" w:hAnsi="Times New Roman"/>
        </w:rPr>
        <w:t>э</w:t>
      </w:r>
      <w:r w:rsidRPr="00E27C11">
        <w:rPr>
          <w:rFonts w:ascii="Times New Roman" w:hAnsi="Times New Roman"/>
          <w:sz w:val="24"/>
          <w:szCs w:val="24"/>
        </w:rPr>
        <w:t>мблематика</w:t>
      </w:r>
      <w:proofErr w:type="spellEnd"/>
      <w:r w:rsidRPr="00E27C11">
        <w:rPr>
          <w:rFonts w:ascii="Times New Roman" w:hAnsi="Times New Roman"/>
          <w:sz w:val="24"/>
          <w:szCs w:val="24"/>
        </w:rPr>
        <w:t xml:space="preserve">, символика, </w:t>
      </w:r>
      <w:proofErr w:type="spellStart"/>
      <w:r w:rsidRPr="00E27C11">
        <w:rPr>
          <w:rFonts w:ascii="Times New Roman" w:hAnsi="Times New Roman"/>
          <w:sz w:val="24"/>
          <w:szCs w:val="24"/>
        </w:rPr>
        <w:t>метафорика</w:t>
      </w:r>
      <w:proofErr w:type="spellEnd"/>
      <w:r w:rsidRPr="00E27C11">
        <w:rPr>
          <w:rFonts w:ascii="Times New Roman" w:hAnsi="Times New Roman"/>
          <w:sz w:val="24"/>
          <w:szCs w:val="24"/>
        </w:rPr>
        <w:t xml:space="preserve"> горных образов в художественной культуре</w:t>
      </w:r>
      <w:r w:rsidR="003742DD" w:rsidRPr="00E27C11">
        <w:rPr>
          <w:rFonts w:ascii="Times New Roman" w:hAnsi="Times New Roman"/>
          <w:sz w:val="24"/>
          <w:szCs w:val="24"/>
        </w:rPr>
        <w:t>.</w:t>
      </w:r>
    </w:p>
    <w:p w:rsidR="001B1CB8" w:rsidRPr="00E27C11" w:rsidRDefault="001B1CB8" w:rsidP="009D52C9"/>
    <w:p w:rsidR="001B1CB8" w:rsidRPr="007E74BF" w:rsidRDefault="001B1CB8" w:rsidP="001B1CB8">
      <w:pPr>
        <w:ind w:firstLine="708"/>
        <w:jc w:val="both"/>
      </w:pPr>
      <w:r w:rsidRPr="009B6099">
        <w:t xml:space="preserve">К участию в конференции </w:t>
      </w:r>
      <w:r w:rsidRPr="007E74BF">
        <w:t>приглашаются научно-педагогические, педагогические, научные работники, аспиранты и соискатели, работники культуры и просвещения. Предполагается очный формат проведения с отдельными включениями онлайн-выступлений.</w:t>
      </w:r>
    </w:p>
    <w:p w:rsidR="001B1CB8" w:rsidRPr="007E74BF" w:rsidRDefault="001B1CB8" w:rsidP="001B1CB8">
      <w:pPr>
        <w:ind w:firstLine="709"/>
        <w:jc w:val="both"/>
      </w:pPr>
      <w:r w:rsidRPr="007E74BF">
        <w:t xml:space="preserve">Для участия в работе конференции необходимо </w:t>
      </w:r>
      <w:r w:rsidRPr="007E74BF">
        <w:rPr>
          <w:b/>
        </w:rPr>
        <w:t>до 25 апреля 202</w:t>
      </w:r>
      <w:r w:rsidR="00E27C11">
        <w:rPr>
          <w:b/>
        </w:rPr>
        <w:t>5</w:t>
      </w:r>
      <w:r w:rsidRPr="007E74BF">
        <w:rPr>
          <w:b/>
        </w:rPr>
        <w:t xml:space="preserve"> года подать заявку</w:t>
      </w:r>
      <w:r w:rsidRPr="007E74BF">
        <w:t>, содержащую сведения об участнике, тему выступления, ключевые слова (3–4) и аннотацию доклада (300–400 знаков) (см. Приложение).</w:t>
      </w:r>
    </w:p>
    <w:p w:rsidR="00F94F2E" w:rsidRDefault="001B1CB8" w:rsidP="001B1CB8">
      <w:pPr>
        <w:ind w:firstLine="709"/>
        <w:jc w:val="both"/>
        <w:rPr>
          <w:rFonts w:ascii="Helvetica" w:hAnsi="Helvetica" w:cs="Helvetica"/>
          <w:color w:val="87898F"/>
          <w:sz w:val="20"/>
          <w:szCs w:val="20"/>
          <w:shd w:val="clear" w:color="auto" w:fill="FFFFFF"/>
        </w:rPr>
      </w:pPr>
      <w:r w:rsidRPr="007E74BF">
        <w:t>Заявку в файле, названном своей фамилией (</w:t>
      </w:r>
      <w:proofErr w:type="gramStart"/>
      <w:r w:rsidRPr="007E74BF">
        <w:t>например</w:t>
      </w:r>
      <w:proofErr w:type="gramEnd"/>
      <w:r w:rsidRPr="007E74BF">
        <w:t>: «</w:t>
      </w:r>
      <w:proofErr w:type="spellStart"/>
      <w:r w:rsidRPr="007E74BF">
        <w:t>Кузнецов_Заявка</w:t>
      </w:r>
      <w:proofErr w:type="spellEnd"/>
      <w:r w:rsidRPr="007E74BF">
        <w:t>»), просим высылать по электронной почте по адресу:</w:t>
      </w:r>
      <w:r w:rsidR="00971879">
        <w:t xml:space="preserve"> </w:t>
      </w:r>
      <w:hyperlink r:id="rId5" w:history="1">
        <w:r w:rsidR="00F94F2E" w:rsidRPr="00F94F2E">
          <w:rPr>
            <w:rStyle w:val="a3"/>
            <w:szCs w:val="20"/>
            <w:shd w:val="clear" w:color="auto" w:fill="FFFFFF"/>
          </w:rPr>
          <w:t>mountains_2025@mail.ru</w:t>
        </w:r>
      </w:hyperlink>
    </w:p>
    <w:p w:rsidR="001B1CB8" w:rsidRPr="009B6099" w:rsidRDefault="001B1CB8" w:rsidP="001B1CB8">
      <w:pPr>
        <w:ind w:firstLine="709"/>
        <w:jc w:val="both"/>
        <w:rPr>
          <w:b/>
        </w:rPr>
      </w:pPr>
      <w:r w:rsidRPr="007E74BF">
        <w:t>Оргкомитет оставляет за собой право отклонить заявки, не соответствующие тематике, профилю и научному уровню конференции.</w:t>
      </w:r>
    </w:p>
    <w:p w:rsidR="001B1CB8" w:rsidRPr="009B6099" w:rsidRDefault="001B1CB8" w:rsidP="001B1CB8">
      <w:pPr>
        <w:ind w:firstLine="709"/>
        <w:jc w:val="both"/>
        <w:rPr>
          <w:b/>
        </w:rPr>
      </w:pPr>
      <w:r w:rsidRPr="009B6099">
        <w:rPr>
          <w:b/>
        </w:rPr>
        <w:t>Все расходы по командировкам производятся за счет направляющей стороны.</w:t>
      </w:r>
    </w:p>
    <w:p w:rsidR="001B1CB8" w:rsidRPr="009B6099" w:rsidRDefault="001B1CB8" w:rsidP="001B1CB8">
      <w:pPr>
        <w:ind w:firstLine="709"/>
        <w:jc w:val="both"/>
      </w:pPr>
      <w:r w:rsidRPr="009B6099">
        <w:t>По итогам работы конференции планируется издание сборника научных статей или коллективной монографии с размещением в базе РИНЦ на безвозмездной для авторов основе. К публикации будут приняты статьи участников, выступивших очно или онлайн, соответствующие тематике конференции, поданные после ее окончания в установленный срок. Статьи должны быть оформлены согласно правилам, которые будут высланы в Информационном письме № 2.</w:t>
      </w:r>
      <w:bookmarkStart w:id="0" w:name="_GoBack"/>
      <w:bookmarkEnd w:id="0"/>
    </w:p>
    <w:p w:rsidR="001B1CB8" w:rsidRPr="009B6099" w:rsidRDefault="001B1CB8" w:rsidP="001B1CB8">
      <w:pPr>
        <w:ind w:firstLine="709"/>
        <w:jc w:val="both"/>
      </w:pPr>
      <w:r w:rsidRPr="009B6099">
        <w:lastRenderedPageBreak/>
        <w:t>Материалы подаются в эл</w:t>
      </w:r>
      <w:r w:rsidR="00E27C11">
        <w:t>ектронном виде до 1 августа 2025</w:t>
      </w:r>
      <w:r w:rsidRPr="009B6099">
        <w:t xml:space="preserve"> года. Оргкомитет оставляет за собой право отбора материалов для издания.</w:t>
      </w:r>
    </w:p>
    <w:p w:rsidR="001B1CB8" w:rsidRPr="009B6099" w:rsidRDefault="001B1CB8" w:rsidP="001B1CB8">
      <w:pPr>
        <w:jc w:val="right"/>
        <w:rPr>
          <w:i/>
        </w:rPr>
      </w:pPr>
    </w:p>
    <w:p w:rsidR="001B1CB8" w:rsidRPr="00E27C11" w:rsidRDefault="001B1CB8" w:rsidP="001B1CB8">
      <w:pPr>
        <w:jc w:val="right"/>
        <w:rPr>
          <w:i/>
        </w:rPr>
      </w:pPr>
      <w:r w:rsidRPr="00E27C11">
        <w:rPr>
          <w:i/>
        </w:rPr>
        <w:t xml:space="preserve">Председатель оргкомитета конференции </w:t>
      </w:r>
    </w:p>
    <w:p w:rsidR="002A6130" w:rsidRPr="00E27C11" w:rsidRDefault="001B1CB8" w:rsidP="001B1CB8">
      <w:pPr>
        <w:jc w:val="right"/>
        <w:rPr>
          <w:i/>
        </w:rPr>
      </w:pPr>
      <w:r w:rsidRPr="00E27C11">
        <w:rPr>
          <w:i/>
        </w:rPr>
        <w:t xml:space="preserve">доктор филологических наук, профессор </w:t>
      </w:r>
    </w:p>
    <w:p w:rsidR="001B1CB8" w:rsidRPr="00E27C11" w:rsidRDefault="00817DDA" w:rsidP="001B1CB8">
      <w:pPr>
        <w:jc w:val="right"/>
        <w:rPr>
          <w:i/>
        </w:rPr>
      </w:pPr>
      <w:r w:rsidRPr="00E27C11">
        <w:rPr>
          <w:i/>
        </w:rPr>
        <w:t xml:space="preserve">департамента филологии </w:t>
      </w:r>
      <w:r w:rsidR="001B1CB8" w:rsidRPr="00E27C11">
        <w:rPr>
          <w:i/>
        </w:rPr>
        <w:t>Альфия Исламовна Смирнова;</w:t>
      </w:r>
    </w:p>
    <w:p w:rsidR="002A6130" w:rsidRDefault="001B1CB8" w:rsidP="001B1CB8">
      <w:pPr>
        <w:jc w:val="right"/>
        <w:rPr>
          <w:i/>
        </w:rPr>
      </w:pPr>
      <w:r w:rsidRPr="00E27C11">
        <w:rPr>
          <w:i/>
        </w:rPr>
        <w:t>ответственный секретарь</w:t>
      </w:r>
      <w:r w:rsidRPr="009B6099">
        <w:rPr>
          <w:i/>
        </w:rPr>
        <w:t xml:space="preserve"> оргкомитета </w:t>
      </w:r>
    </w:p>
    <w:p w:rsidR="002A6130" w:rsidRDefault="001B1CB8" w:rsidP="001B1CB8">
      <w:pPr>
        <w:jc w:val="right"/>
        <w:rPr>
          <w:i/>
        </w:rPr>
      </w:pPr>
      <w:r w:rsidRPr="009B6099">
        <w:rPr>
          <w:i/>
        </w:rPr>
        <w:t xml:space="preserve">конференции профессор </w:t>
      </w:r>
      <w:r w:rsidR="002A6130">
        <w:rPr>
          <w:i/>
        </w:rPr>
        <w:t>департамента филологии</w:t>
      </w:r>
      <w:r w:rsidRPr="009B6099">
        <w:rPr>
          <w:i/>
        </w:rPr>
        <w:t xml:space="preserve"> </w:t>
      </w:r>
    </w:p>
    <w:p w:rsidR="001B1CB8" w:rsidRPr="009B6099" w:rsidRDefault="001B1CB8" w:rsidP="001B1CB8">
      <w:pPr>
        <w:jc w:val="right"/>
        <w:rPr>
          <w:i/>
        </w:rPr>
      </w:pPr>
      <w:r w:rsidRPr="009B6099">
        <w:rPr>
          <w:i/>
        </w:rPr>
        <w:t>кандидат филологических наук, доцент Ирина Николаевна Райкова.</w:t>
      </w:r>
    </w:p>
    <w:p w:rsidR="001B1CB8" w:rsidRPr="009B6099" w:rsidRDefault="001B1CB8" w:rsidP="001B1CB8">
      <w:pPr>
        <w:ind w:firstLine="709"/>
        <w:jc w:val="both"/>
      </w:pPr>
    </w:p>
    <w:p w:rsidR="001B1CB8" w:rsidRPr="009B6099" w:rsidRDefault="001B1CB8" w:rsidP="001B1CB8">
      <w:pPr>
        <w:ind w:firstLine="709"/>
        <w:jc w:val="right"/>
      </w:pPr>
      <w:r w:rsidRPr="009B6099">
        <w:t>Приложение</w:t>
      </w:r>
    </w:p>
    <w:p w:rsidR="001B1CB8" w:rsidRPr="009B6099" w:rsidRDefault="001B1CB8" w:rsidP="001B1CB8">
      <w:pPr>
        <w:jc w:val="center"/>
      </w:pPr>
    </w:p>
    <w:p w:rsidR="001B1CB8" w:rsidRPr="009B6099" w:rsidRDefault="001B1CB8" w:rsidP="001B1CB8">
      <w:pPr>
        <w:jc w:val="center"/>
      </w:pPr>
      <w:r w:rsidRPr="009B6099">
        <w:t>ЗАЯВКА НА УЧАСТИЕ В РАБОТЕ КОНФЕРЕНЦИИ</w:t>
      </w:r>
    </w:p>
    <w:p w:rsidR="001B1CB8" w:rsidRPr="001B1CB8" w:rsidRDefault="001B1CB8" w:rsidP="001B1CB8">
      <w:pPr>
        <w:ind w:firstLine="709"/>
        <w:jc w:val="center"/>
        <w:rPr>
          <w:rStyle w:val="a5"/>
          <w:color w:val="2C2D2E"/>
          <w:shd w:val="clear" w:color="auto" w:fill="FFFFFF"/>
        </w:rPr>
      </w:pPr>
      <w:r w:rsidRPr="001B1CB8">
        <w:t xml:space="preserve">«Горы и ландшафт Земли в художественной </w:t>
      </w:r>
      <w:r w:rsidRPr="001B1CB8">
        <w:rPr>
          <w:color w:val="2C2D2E"/>
          <w:shd w:val="clear" w:color="auto" w:fill="FFFFFF"/>
        </w:rPr>
        <w:t>картине мира</w:t>
      </w:r>
      <w:r w:rsidRPr="001B1CB8">
        <w:rPr>
          <w:rStyle w:val="a5"/>
          <w:color w:val="2C2D2E"/>
          <w:shd w:val="clear" w:color="auto" w:fill="FFFFFF"/>
        </w:rPr>
        <w:t>»</w:t>
      </w:r>
    </w:p>
    <w:p w:rsidR="001B1CB8" w:rsidRPr="001B1CB8" w:rsidRDefault="001B1CB8" w:rsidP="001B1CB8">
      <w:pPr>
        <w:ind w:firstLine="709"/>
        <w:jc w:val="center"/>
      </w:pPr>
    </w:p>
    <w:p w:rsidR="001B1CB8" w:rsidRPr="009B6099" w:rsidRDefault="001B1CB8" w:rsidP="001B1CB8">
      <w:pPr>
        <w:ind w:firstLine="709"/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2"/>
        <w:gridCol w:w="5513"/>
      </w:tblGrid>
      <w:tr w:rsidR="001B1CB8" w:rsidRPr="009B6099" w:rsidTr="00D5172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B8" w:rsidRPr="009B6099" w:rsidRDefault="001B1CB8" w:rsidP="00D51728">
            <w:pPr>
              <w:ind w:firstLine="709"/>
              <w:jc w:val="center"/>
              <w:rPr>
                <w:bCs/>
              </w:rPr>
            </w:pPr>
            <w:r w:rsidRPr="009B6099">
              <w:rPr>
                <w:bCs/>
              </w:rPr>
              <w:t>ФИО (полностью)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B8" w:rsidRPr="009B6099" w:rsidRDefault="001B1CB8" w:rsidP="00D51728">
            <w:pPr>
              <w:ind w:firstLine="709"/>
              <w:jc w:val="center"/>
              <w:rPr>
                <w:bCs/>
              </w:rPr>
            </w:pPr>
          </w:p>
        </w:tc>
      </w:tr>
      <w:tr w:rsidR="001B1CB8" w:rsidRPr="009B6099" w:rsidTr="00D5172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B8" w:rsidRPr="009B6099" w:rsidRDefault="001B1CB8" w:rsidP="00D51728">
            <w:pPr>
              <w:jc w:val="both"/>
            </w:pPr>
            <w:r w:rsidRPr="009B6099">
              <w:t>Ученая степень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B8" w:rsidRPr="009B6099" w:rsidRDefault="001B1CB8" w:rsidP="00D51728">
            <w:pPr>
              <w:jc w:val="both"/>
            </w:pPr>
          </w:p>
        </w:tc>
      </w:tr>
      <w:tr w:rsidR="001B1CB8" w:rsidRPr="009B6099" w:rsidTr="00D5172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B8" w:rsidRPr="009B6099" w:rsidRDefault="001B1CB8" w:rsidP="00D51728">
            <w:pPr>
              <w:jc w:val="both"/>
            </w:pPr>
            <w:r w:rsidRPr="009B6099">
              <w:t>Ученое звание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B8" w:rsidRPr="009B6099" w:rsidRDefault="001B1CB8" w:rsidP="00D51728">
            <w:pPr>
              <w:jc w:val="both"/>
              <w:rPr>
                <w:lang w:val="en-US"/>
              </w:rPr>
            </w:pPr>
          </w:p>
        </w:tc>
      </w:tr>
      <w:tr w:rsidR="001B1CB8" w:rsidRPr="009B6099" w:rsidTr="00D5172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B8" w:rsidRPr="009B6099" w:rsidRDefault="001B1CB8" w:rsidP="00D51728">
            <w:pPr>
              <w:jc w:val="both"/>
            </w:pPr>
            <w:r w:rsidRPr="009B6099">
              <w:t>Место работы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B8" w:rsidRPr="009B6099" w:rsidRDefault="001B1CB8" w:rsidP="00D51728">
            <w:pPr>
              <w:jc w:val="both"/>
            </w:pPr>
          </w:p>
        </w:tc>
      </w:tr>
      <w:tr w:rsidR="001B1CB8" w:rsidRPr="009B6099" w:rsidTr="00D5172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B8" w:rsidRPr="009B6099" w:rsidRDefault="001B1CB8" w:rsidP="00D51728">
            <w:pPr>
              <w:jc w:val="both"/>
            </w:pPr>
            <w:r w:rsidRPr="009B6099">
              <w:t>Должность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B8" w:rsidRPr="009B6099" w:rsidRDefault="001B1CB8" w:rsidP="00D51728">
            <w:pPr>
              <w:jc w:val="both"/>
            </w:pPr>
          </w:p>
        </w:tc>
      </w:tr>
      <w:tr w:rsidR="001B1CB8" w:rsidRPr="009B6099" w:rsidTr="00D5172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B8" w:rsidRPr="009B6099" w:rsidRDefault="001B1CB8" w:rsidP="00D51728">
            <w:pPr>
              <w:jc w:val="both"/>
            </w:pPr>
            <w:r w:rsidRPr="009B6099">
              <w:t>Место учебы, направление и профиль подготовки (для аспирантов и соискателей)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B8" w:rsidRPr="009B6099" w:rsidRDefault="001B1CB8" w:rsidP="00D51728">
            <w:pPr>
              <w:jc w:val="both"/>
            </w:pPr>
          </w:p>
        </w:tc>
      </w:tr>
      <w:tr w:rsidR="001B1CB8" w:rsidRPr="009B6099" w:rsidTr="00D5172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B8" w:rsidRPr="009B6099" w:rsidRDefault="001B1CB8" w:rsidP="00D51728">
            <w:pPr>
              <w:jc w:val="both"/>
            </w:pPr>
            <w:r w:rsidRPr="009B6099">
              <w:t>Домашний адрес (с индексом)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B8" w:rsidRPr="009B6099" w:rsidRDefault="001B1CB8" w:rsidP="00D51728">
            <w:pPr>
              <w:jc w:val="both"/>
            </w:pPr>
          </w:p>
        </w:tc>
      </w:tr>
      <w:tr w:rsidR="001B1CB8" w:rsidRPr="009B6099" w:rsidTr="00D5172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B8" w:rsidRPr="009B6099" w:rsidRDefault="001B1CB8" w:rsidP="00D51728">
            <w:pPr>
              <w:jc w:val="both"/>
            </w:pPr>
            <w:r w:rsidRPr="009B6099">
              <w:t>Контактные телефоны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B8" w:rsidRPr="009B6099" w:rsidRDefault="001B1CB8" w:rsidP="00D51728">
            <w:pPr>
              <w:jc w:val="both"/>
            </w:pPr>
          </w:p>
        </w:tc>
      </w:tr>
      <w:tr w:rsidR="001B1CB8" w:rsidRPr="009B6099" w:rsidTr="00D5172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B8" w:rsidRPr="009B6099" w:rsidRDefault="001B1CB8" w:rsidP="00D51728">
            <w:pPr>
              <w:jc w:val="both"/>
            </w:pPr>
            <w:r w:rsidRPr="009B6099">
              <w:rPr>
                <w:lang w:val="en-US"/>
              </w:rPr>
              <w:t>E</w:t>
            </w:r>
            <w:r w:rsidRPr="009B6099">
              <w:t>-</w:t>
            </w:r>
            <w:r w:rsidRPr="009B6099">
              <w:rPr>
                <w:lang w:val="en-US"/>
              </w:rPr>
              <w:t>mail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B8" w:rsidRPr="009B6099" w:rsidRDefault="001B1CB8" w:rsidP="00D51728">
            <w:pPr>
              <w:jc w:val="both"/>
            </w:pPr>
          </w:p>
        </w:tc>
      </w:tr>
      <w:tr w:rsidR="001B1CB8" w:rsidRPr="009B6099" w:rsidTr="00D5172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B8" w:rsidRPr="009B6099" w:rsidRDefault="001B1CB8" w:rsidP="00D51728">
            <w:pPr>
              <w:jc w:val="both"/>
            </w:pPr>
            <w:r w:rsidRPr="009B6099">
              <w:t>Выбранное направление работы конференции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B8" w:rsidRPr="009B6099" w:rsidRDefault="001B1CB8" w:rsidP="00D51728">
            <w:pPr>
              <w:jc w:val="both"/>
            </w:pPr>
          </w:p>
        </w:tc>
      </w:tr>
      <w:tr w:rsidR="001B1CB8" w:rsidRPr="009B6099" w:rsidTr="00D5172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B8" w:rsidRPr="009B6099" w:rsidRDefault="001B1CB8" w:rsidP="00D51728">
            <w:pPr>
              <w:jc w:val="both"/>
            </w:pPr>
            <w:r w:rsidRPr="009B6099">
              <w:t>Тема выступления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B8" w:rsidRPr="009B6099" w:rsidRDefault="001B1CB8" w:rsidP="00D51728">
            <w:pPr>
              <w:jc w:val="both"/>
            </w:pPr>
          </w:p>
        </w:tc>
      </w:tr>
      <w:tr w:rsidR="001B1CB8" w:rsidRPr="009B6099" w:rsidTr="00D5172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B8" w:rsidRPr="009B6099" w:rsidRDefault="001B1CB8" w:rsidP="00D51728">
            <w:pPr>
              <w:jc w:val="both"/>
            </w:pPr>
            <w:r w:rsidRPr="009B6099">
              <w:t>Формат участия (очно или онлайн)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B8" w:rsidRPr="009B6099" w:rsidRDefault="001B1CB8" w:rsidP="00D51728">
            <w:pPr>
              <w:jc w:val="both"/>
            </w:pPr>
          </w:p>
        </w:tc>
      </w:tr>
      <w:tr w:rsidR="001B1CB8" w:rsidRPr="009B6099" w:rsidTr="00D5172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B8" w:rsidRPr="009B6099" w:rsidRDefault="001B1CB8" w:rsidP="00D51728">
            <w:pPr>
              <w:jc w:val="both"/>
            </w:pPr>
            <w:r w:rsidRPr="009B6099">
              <w:t>Ключевые слова (3–4)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B8" w:rsidRPr="009B6099" w:rsidRDefault="001B1CB8" w:rsidP="00D51728">
            <w:pPr>
              <w:jc w:val="both"/>
            </w:pPr>
          </w:p>
        </w:tc>
      </w:tr>
    </w:tbl>
    <w:p w:rsidR="001B1CB8" w:rsidRPr="009B6099" w:rsidRDefault="001B1CB8" w:rsidP="001B1CB8">
      <w:pPr>
        <w:jc w:val="center"/>
      </w:pPr>
    </w:p>
    <w:p w:rsidR="001B1CB8" w:rsidRPr="009B6099" w:rsidRDefault="001B1CB8" w:rsidP="001B1CB8">
      <w:pPr>
        <w:jc w:val="center"/>
      </w:pPr>
      <w:r w:rsidRPr="009B6099">
        <w:t>АННОТАЦИЯ ДОКЛАДА (300–400 знаков)</w:t>
      </w:r>
    </w:p>
    <w:p w:rsidR="001B1CB8" w:rsidRPr="009B6099" w:rsidRDefault="001B1CB8" w:rsidP="001B1CB8"/>
    <w:p w:rsidR="00DF4943" w:rsidRDefault="00DF4943"/>
    <w:sectPr w:rsidR="00DF4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C4FAF"/>
    <w:multiLevelType w:val="hybridMultilevel"/>
    <w:tmpl w:val="6C964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C1B26"/>
    <w:multiLevelType w:val="hybridMultilevel"/>
    <w:tmpl w:val="E8F6E584"/>
    <w:lvl w:ilvl="0" w:tplc="A29484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2616E"/>
    <w:multiLevelType w:val="multilevel"/>
    <w:tmpl w:val="1E78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B8"/>
    <w:rsid w:val="00051C85"/>
    <w:rsid w:val="000F0CF7"/>
    <w:rsid w:val="001B1CB8"/>
    <w:rsid w:val="001D4D02"/>
    <w:rsid w:val="00266A33"/>
    <w:rsid w:val="00282120"/>
    <w:rsid w:val="002A6130"/>
    <w:rsid w:val="0032527E"/>
    <w:rsid w:val="00343907"/>
    <w:rsid w:val="003742DD"/>
    <w:rsid w:val="00377709"/>
    <w:rsid w:val="004B67C7"/>
    <w:rsid w:val="004B684F"/>
    <w:rsid w:val="005C059B"/>
    <w:rsid w:val="0064047A"/>
    <w:rsid w:val="00644F01"/>
    <w:rsid w:val="00817DDA"/>
    <w:rsid w:val="00971879"/>
    <w:rsid w:val="009D52C9"/>
    <w:rsid w:val="00A43CEF"/>
    <w:rsid w:val="00AA2367"/>
    <w:rsid w:val="00AA4BB9"/>
    <w:rsid w:val="00AF5937"/>
    <w:rsid w:val="00C83996"/>
    <w:rsid w:val="00D75D96"/>
    <w:rsid w:val="00DD4B1C"/>
    <w:rsid w:val="00DF4943"/>
    <w:rsid w:val="00E27C11"/>
    <w:rsid w:val="00F02AF7"/>
    <w:rsid w:val="00F42AFA"/>
    <w:rsid w:val="00F44D13"/>
    <w:rsid w:val="00F9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4E82B-54D5-46AF-B8CF-A94CD6EE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B1C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1C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1B1CB8"/>
    <w:rPr>
      <w:b/>
      <w:bCs/>
    </w:rPr>
  </w:style>
  <w:style w:type="paragraph" w:styleId="a6">
    <w:name w:val="No Spacing"/>
    <w:uiPriority w:val="1"/>
    <w:qFormat/>
    <w:rsid w:val="0037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ntains_202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Альфия Исламовна</dc:creator>
  <cp:keywords/>
  <dc:description/>
  <cp:lastModifiedBy>Ольга Гаврилина</cp:lastModifiedBy>
  <cp:revision>2</cp:revision>
  <dcterms:created xsi:type="dcterms:W3CDTF">2024-12-29T06:29:00Z</dcterms:created>
  <dcterms:modified xsi:type="dcterms:W3CDTF">2024-12-29T06:29:00Z</dcterms:modified>
</cp:coreProperties>
</file>